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0B1542">
        <w:rPr>
          <w:rFonts w:ascii="Times New Roman" w:hAnsi="Times New Roman"/>
          <w:szCs w:val="24"/>
        </w:rPr>
        <w:t>Д. В</w:t>
      </w:r>
      <w:r w:rsidRPr="000B1542">
        <w:rPr>
          <w:rFonts w:ascii="Times New Roman" w:hAnsi="Times New Roman"/>
          <w:i w:val="0"/>
          <w:szCs w:val="24"/>
        </w:rPr>
        <w:t>.</w:t>
      </w:r>
      <w:r w:rsidRPr="000B1542">
        <w:rPr>
          <w:rFonts w:ascii="Times New Roman" w:hAnsi="Times New Roman"/>
          <w:szCs w:val="24"/>
        </w:rPr>
        <w:t xml:space="preserve"> Ложкарев</w:t>
      </w:r>
      <w:r w:rsidRPr="000B1542">
        <w:rPr>
          <w:rFonts w:ascii="Times New Roman" w:hAnsi="Times New Roman"/>
          <w:i w:val="0"/>
          <w:szCs w:val="24"/>
        </w:rPr>
        <w:t>, магистрант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0B1542">
        <w:rPr>
          <w:rFonts w:ascii="Times New Roman" w:hAnsi="Times New Roman"/>
          <w:i w:val="0"/>
          <w:szCs w:val="24"/>
        </w:rPr>
        <w:t>B</w:t>
      </w:r>
      <w:r w:rsidRPr="000B1542">
        <w:rPr>
          <w:rFonts w:ascii="Times New Roman" w:hAnsi="Times New Roman"/>
          <w:szCs w:val="24"/>
        </w:rPr>
        <w:t>А. В</w:t>
      </w:r>
      <w:r w:rsidRPr="000B1542">
        <w:rPr>
          <w:rFonts w:ascii="Times New Roman" w:hAnsi="Times New Roman"/>
          <w:i w:val="0"/>
          <w:szCs w:val="24"/>
        </w:rPr>
        <w:t xml:space="preserve">. </w:t>
      </w:r>
      <w:r w:rsidRPr="000B1542">
        <w:rPr>
          <w:rFonts w:ascii="Times New Roman" w:hAnsi="Times New Roman"/>
          <w:szCs w:val="24"/>
        </w:rPr>
        <w:t>Коробейников</w:t>
      </w:r>
      <w:r w:rsidRPr="000B1542">
        <w:rPr>
          <w:rFonts w:ascii="Times New Roman" w:hAnsi="Times New Roman"/>
          <w:i w:val="0"/>
          <w:szCs w:val="24"/>
        </w:rPr>
        <w:t>, кандидат технических наук, доцент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0B1542">
        <w:rPr>
          <w:rFonts w:ascii="Times New Roman" w:hAnsi="Times New Roman"/>
          <w:szCs w:val="24"/>
        </w:rPr>
        <w:t>Е. А</w:t>
      </w:r>
      <w:r w:rsidRPr="000B1542">
        <w:rPr>
          <w:rFonts w:ascii="Times New Roman" w:hAnsi="Times New Roman"/>
          <w:i w:val="0"/>
          <w:szCs w:val="24"/>
        </w:rPr>
        <w:t xml:space="preserve">. </w:t>
      </w:r>
      <w:r w:rsidRPr="000B1542">
        <w:rPr>
          <w:rFonts w:ascii="Times New Roman" w:hAnsi="Times New Roman"/>
          <w:szCs w:val="24"/>
        </w:rPr>
        <w:t>Филиппова</w:t>
      </w:r>
      <w:r w:rsidRPr="000B1542">
        <w:rPr>
          <w:rFonts w:ascii="Times New Roman" w:hAnsi="Times New Roman"/>
          <w:i w:val="0"/>
          <w:szCs w:val="24"/>
        </w:rPr>
        <w:t>, магистрант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0B1542">
        <w:rPr>
          <w:rFonts w:ascii="Times New Roman" w:hAnsi="Times New Roman"/>
          <w:i w:val="0"/>
          <w:szCs w:val="24"/>
        </w:rPr>
        <w:t>кафедра «Программное обеспечение»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pacing w:val="-2"/>
          <w:szCs w:val="24"/>
        </w:rPr>
      </w:pPr>
      <w:r w:rsidRPr="000B1542">
        <w:rPr>
          <w:rFonts w:ascii="Times New Roman" w:hAnsi="Times New Roman"/>
          <w:i w:val="0"/>
          <w:spacing w:val="-2"/>
          <w:szCs w:val="24"/>
        </w:rPr>
        <w:t>Ижевский государственный технический университет имени М. Т. Калашникова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0B1542">
        <w:rPr>
          <w:rStyle w:val="a5"/>
          <w:rFonts w:ascii="Times New Roman" w:hAnsi="Times New Roman"/>
          <w:color w:val="FFFFFF"/>
          <w:szCs w:val="24"/>
        </w:rPr>
        <w:footnoteReference w:customMarkFollows="1" w:id="1"/>
        <w:sym w:font="Symbol" w:char="F0D3"/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  <w:lang w:val="en-US"/>
        </w:rPr>
      </w:pPr>
      <w:r w:rsidRPr="000B1542">
        <w:rPr>
          <w:rFonts w:ascii="Times New Roman" w:hAnsi="Times New Roman"/>
          <w:szCs w:val="24"/>
          <w:lang w:val="en-US"/>
        </w:rPr>
        <w:t>D. V. Lozhkarev,</w:t>
      </w:r>
      <w:r w:rsidRPr="000B1542">
        <w:rPr>
          <w:rFonts w:ascii="Times New Roman" w:hAnsi="Times New Roman"/>
          <w:i w:val="0"/>
          <w:szCs w:val="24"/>
          <w:lang w:val="en-US"/>
        </w:rPr>
        <w:t xml:space="preserve"> Master’s Degree Student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  <w:lang w:val="en-US"/>
        </w:rPr>
      </w:pPr>
      <w:r w:rsidRPr="000B1542">
        <w:rPr>
          <w:rFonts w:ascii="Times New Roman" w:hAnsi="Times New Roman"/>
          <w:i w:val="0"/>
          <w:szCs w:val="24"/>
          <w:lang w:val="en-US"/>
        </w:rPr>
        <w:t>A. V. Korobeynikov, PhD in Engineering, Associate Professor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  <w:lang w:val="en-US"/>
        </w:rPr>
      </w:pPr>
      <w:r w:rsidRPr="000B1542">
        <w:rPr>
          <w:rFonts w:ascii="Times New Roman" w:hAnsi="Times New Roman"/>
          <w:szCs w:val="24"/>
          <w:lang w:val="en-US"/>
        </w:rPr>
        <w:t>E. A. Filippova,</w:t>
      </w:r>
      <w:r w:rsidRPr="000B1542">
        <w:rPr>
          <w:rFonts w:ascii="Times New Roman" w:hAnsi="Times New Roman"/>
          <w:i w:val="0"/>
          <w:szCs w:val="24"/>
          <w:lang w:val="en-US"/>
        </w:rPr>
        <w:t xml:space="preserve"> Master’s Degree Student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  <w:lang w:val="en-US"/>
        </w:rPr>
      </w:pPr>
      <w:r w:rsidRPr="000B1542">
        <w:rPr>
          <w:rFonts w:ascii="Times New Roman" w:hAnsi="Times New Roman"/>
          <w:i w:val="0"/>
          <w:szCs w:val="24"/>
          <w:lang w:val="en-US"/>
        </w:rPr>
        <w:t>Department of Software</w:t>
      </w:r>
    </w:p>
    <w:p w:rsidR="004518EC" w:rsidRPr="000B1542" w:rsidRDefault="004518EC" w:rsidP="004518EC">
      <w:pPr>
        <w:pStyle w:val="2"/>
        <w:autoSpaceDE w:val="0"/>
        <w:spacing w:before="0" w:after="0"/>
        <w:jc w:val="center"/>
        <w:rPr>
          <w:rFonts w:ascii="Times New Roman" w:hAnsi="Times New Roman"/>
          <w:i w:val="0"/>
          <w:szCs w:val="24"/>
          <w:lang w:val="en-US"/>
        </w:rPr>
      </w:pPr>
      <w:r w:rsidRPr="000B1542">
        <w:rPr>
          <w:rFonts w:ascii="Times New Roman" w:hAnsi="Times New Roman"/>
          <w:i w:val="0"/>
          <w:szCs w:val="24"/>
          <w:lang w:val="en-US"/>
        </w:rPr>
        <w:t>Kalashnikov Izhevsk State Technical University</w:t>
      </w:r>
    </w:p>
    <w:p w:rsidR="004518EC" w:rsidRPr="000B1542" w:rsidRDefault="004518EC" w:rsidP="004518EC">
      <w:pPr>
        <w:pStyle w:val="2"/>
        <w:autoSpaceDE w:val="0"/>
        <w:spacing w:before="0" w:after="0"/>
        <w:rPr>
          <w:rFonts w:ascii="Times New Roman" w:hAnsi="Times New Roman"/>
          <w:i w:val="0"/>
          <w:szCs w:val="24"/>
          <w:lang w:val="en-US"/>
        </w:rPr>
      </w:pPr>
    </w:p>
    <w:p w:rsidR="004518EC" w:rsidRPr="000B1542" w:rsidRDefault="004518EC" w:rsidP="004518EC">
      <w:pPr>
        <w:pStyle w:val="3"/>
        <w:autoSpaceDE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B1542">
        <w:rPr>
          <w:rFonts w:ascii="Times New Roman" w:hAnsi="Times New Roman" w:cs="Times New Roman"/>
          <w:sz w:val="24"/>
          <w:szCs w:val="24"/>
        </w:rPr>
        <w:t>Ритмографический анализ событий корпоративного сетового</w:t>
      </w:r>
      <w:r w:rsidRPr="000B1542">
        <w:rPr>
          <w:rFonts w:ascii="Times New Roman" w:hAnsi="Times New Roman" w:cs="Times New Roman"/>
          <w:sz w:val="24"/>
          <w:szCs w:val="24"/>
        </w:rPr>
        <w:br/>
        <w:t xml:space="preserve">трафика системы </w:t>
      </w:r>
      <w:r w:rsidRPr="000B1542">
        <w:rPr>
          <w:rFonts w:ascii="Times New Roman" w:hAnsi="Times New Roman" w:cs="Times New Roman"/>
          <w:i/>
          <w:iCs/>
          <w:sz w:val="24"/>
          <w:szCs w:val="24"/>
        </w:rPr>
        <w:t>CISCO MARS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</w:pPr>
    </w:p>
    <w:p w:rsidR="004518EC" w:rsidRPr="000B1542" w:rsidRDefault="004518EC" w:rsidP="004518EC">
      <w:pPr>
        <w:jc w:val="center"/>
        <w:rPr>
          <w:b/>
          <w:lang w:val="en-US"/>
        </w:rPr>
      </w:pPr>
      <w:r w:rsidRPr="000B1542">
        <w:rPr>
          <w:b/>
          <w:lang w:val="en-US"/>
        </w:rPr>
        <w:t>Rhythmographic analysis of the corporate network traffic</w:t>
      </w:r>
    </w:p>
    <w:p w:rsidR="004518EC" w:rsidRPr="000B1542" w:rsidRDefault="004518EC" w:rsidP="004518EC">
      <w:pPr>
        <w:jc w:val="center"/>
        <w:rPr>
          <w:b/>
          <w:lang w:val="en-US"/>
        </w:rPr>
      </w:pPr>
      <w:proofErr w:type="gramStart"/>
      <w:r w:rsidRPr="000B1542">
        <w:rPr>
          <w:b/>
          <w:lang w:val="en-US"/>
        </w:rPr>
        <w:t>events</w:t>
      </w:r>
      <w:proofErr w:type="gramEnd"/>
      <w:r w:rsidRPr="000B1542">
        <w:rPr>
          <w:b/>
          <w:lang w:val="en-US"/>
        </w:rPr>
        <w:t xml:space="preserve"> of The CISCO MARS System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  <w:rPr>
          <w:lang w:val="en-US"/>
        </w:rPr>
      </w:pPr>
    </w:p>
    <w:p w:rsidR="004518EC" w:rsidRPr="000B1542" w:rsidRDefault="004518EC" w:rsidP="004518EC">
      <w:pPr>
        <w:rPr>
          <w:i/>
        </w:rPr>
      </w:pPr>
      <w:r w:rsidRPr="000B1542">
        <w:rPr>
          <w:i/>
        </w:rPr>
        <w:t xml:space="preserve">Рассматривается анализ вариабельности ритма событий сетевого трафика. За основу анализа ритма событий взята методика, применяемая для анализа вариабельности сердечного ритма человека. Изложена методика вычисления параметров и построения диаграмм ритмографического анализа. Практическое применение предлагаемого подхода в составе программного обеспечения анализа событий сетевого трафика позволит проводить оперативную оценку ритмографического характера отдельных событий и выполнять обнаружение сетевых аномалий. </w:t>
      </w:r>
    </w:p>
    <w:p w:rsidR="004518EC" w:rsidRPr="000B1542" w:rsidRDefault="004518EC" w:rsidP="004518EC">
      <w:pPr>
        <w:rPr>
          <w:i/>
        </w:rPr>
      </w:pPr>
    </w:p>
    <w:p w:rsidR="004518EC" w:rsidRPr="000B1542" w:rsidRDefault="004518EC" w:rsidP="004518EC">
      <w:pPr>
        <w:rPr>
          <w:i/>
          <w:lang w:val="en-US"/>
        </w:rPr>
      </w:pPr>
      <w:r w:rsidRPr="000B1542">
        <w:rPr>
          <w:i/>
          <w:lang w:val="en-US"/>
        </w:rPr>
        <w:t xml:space="preserve">Network traffic events rate variability is considered. The analysis </w:t>
      </w:r>
      <w:proofErr w:type="gramStart"/>
      <w:r w:rsidRPr="000B1542">
        <w:rPr>
          <w:i/>
          <w:lang w:val="en-US"/>
        </w:rPr>
        <w:t>is based</w:t>
      </w:r>
      <w:proofErr w:type="gramEnd"/>
      <w:r w:rsidRPr="000B1542">
        <w:rPr>
          <w:i/>
          <w:lang w:val="en-US"/>
        </w:rPr>
        <w:t xml:space="preserve"> on human heart rate variability analysis. The procedure of parameters calculation and diagram creating of rythmographic analysis </w:t>
      </w:r>
      <w:proofErr w:type="gramStart"/>
      <w:r w:rsidRPr="000B1542">
        <w:rPr>
          <w:i/>
          <w:lang w:val="en-US"/>
        </w:rPr>
        <w:t>is described</w:t>
      </w:r>
      <w:proofErr w:type="gramEnd"/>
      <w:r w:rsidRPr="000B1542">
        <w:rPr>
          <w:i/>
          <w:lang w:val="en-US"/>
        </w:rPr>
        <w:t xml:space="preserve">. The considered method application in network events </w:t>
      </w:r>
      <w:proofErr w:type="gramStart"/>
      <w:r w:rsidRPr="000B1542">
        <w:rPr>
          <w:i/>
          <w:lang w:val="en-US"/>
        </w:rPr>
        <w:t>rate variability analysis software</w:t>
      </w:r>
      <w:proofErr w:type="gramEnd"/>
      <w:r w:rsidRPr="000B1542">
        <w:rPr>
          <w:i/>
          <w:lang w:val="en-US"/>
        </w:rPr>
        <w:t xml:space="preserve"> will allow rapid assessment rythmographic character of network events and detect network anomalies.</w:t>
      </w:r>
    </w:p>
    <w:p w:rsidR="004518EC" w:rsidRPr="000B1542" w:rsidRDefault="004518EC" w:rsidP="004518EC">
      <w:pPr>
        <w:rPr>
          <w:lang w:val="en-US"/>
        </w:rPr>
      </w:pPr>
    </w:p>
    <w:p w:rsidR="004518EC" w:rsidRPr="000B1542" w:rsidRDefault="004518EC" w:rsidP="004518EC">
      <w:pPr>
        <w:rPr>
          <w:spacing w:val="-2"/>
        </w:rPr>
      </w:pPr>
      <w:r w:rsidRPr="000B1542">
        <w:rPr>
          <w:b/>
          <w:spacing w:val="-2"/>
        </w:rPr>
        <w:t>Ключевые слова:</w:t>
      </w:r>
      <w:r w:rsidRPr="000B1542">
        <w:rPr>
          <w:spacing w:val="-2"/>
        </w:rPr>
        <w:t xml:space="preserve"> вариабельность сердечного ритма; ВСР; вариабельность ритма сетевых событий; ритмография; обнаружений аномалий сетевого трафика.</w:t>
      </w:r>
    </w:p>
    <w:p w:rsidR="004518EC" w:rsidRPr="000B1542" w:rsidRDefault="004518EC" w:rsidP="004518EC"/>
    <w:p w:rsidR="004518EC" w:rsidRPr="000B1542" w:rsidRDefault="004518EC" w:rsidP="004518EC">
      <w:pPr>
        <w:rPr>
          <w:lang w:val="en-US"/>
        </w:rPr>
      </w:pPr>
      <w:r w:rsidRPr="000B1542">
        <w:rPr>
          <w:b/>
          <w:lang w:val="en-US"/>
        </w:rPr>
        <w:t>Keywords:</w:t>
      </w:r>
      <w:r w:rsidRPr="000B1542">
        <w:rPr>
          <w:lang w:val="en-US"/>
        </w:rPr>
        <w:t xml:space="preserve"> heart rate variability; HRV; network events rate variability; rythmography; network traffic anomalies detection.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  <w:rPr>
          <w:lang w:val="en-US"/>
        </w:rPr>
      </w:pPr>
    </w:p>
    <w:p w:rsidR="004518EC" w:rsidRPr="000B1542" w:rsidRDefault="004518EC" w:rsidP="004518EC">
      <w:pPr>
        <w:widowControl w:val="0"/>
        <w:autoSpaceDE w:val="0"/>
        <w:autoSpaceDN w:val="0"/>
        <w:adjustRightInd w:val="0"/>
      </w:pPr>
      <w:r w:rsidRPr="000B1542">
        <w:t>Число злоумышленников, которые наносят вредоносные действия узлам корпоративной сети, возрастают с каждым годом. Это связано с</w:t>
      </w:r>
      <w:r w:rsidRPr="000B1542">
        <w:rPr>
          <w:spacing w:val="-2"/>
        </w:rPr>
        <w:t> развитием новых стандартов передачи данных в среде, которые с каж</w:t>
      </w:r>
      <w:r w:rsidRPr="000B1542">
        <w:t xml:space="preserve">дым годом повышают либо пропускную способность канала, либо надежность передачи путем избыточности. Кроме того, число пользователей корпоративных сетей также стремительно растет, и с этим ростом увеличивается количество вредоносной активности [1, 2]. 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</w:pPr>
    </w:p>
    <w:p w:rsidR="004518EC" w:rsidRPr="006E5348" w:rsidRDefault="004518EC" w:rsidP="004518EC">
      <w:pPr>
        <w:pStyle w:val="4"/>
        <w:autoSpaceDE w:val="0"/>
        <w:spacing w:before="0"/>
        <w:rPr>
          <w:rFonts w:ascii="Times New Roman" w:hAnsi="Times New Roman" w:cs="Times New Roman"/>
          <w:color w:val="auto"/>
          <w:lang w:val="en-US"/>
        </w:rPr>
      </w:pPr>
      <w:r w:rsidRPr="006E5348">
        <w:rPr>
          <w:rFonts w:ascii="Times New Roman" w:hAnsi="Times New Roman" w:cs="Times New Roman"/>
          <w:iCs w:val="0"/>
          <w:color w:val="auto"/>
        </w:rPr>
        <w:t>Таблица 1</w:t>
      </w:r>
      <w:r w:rsidRPr="006E5348">
        <w:rPr>
          <w:rFonts w:ascii="Times New Roman" w:hAnsi="Times New Roman" w:cs="Times New Roman"/>
          <w:color w:val="auto"/>
        </w:rPr>
        <w:t xml:space="preserve">. </w:t>
      </w:r>
      <w:r w:rsidRPr="006E5348">
        <w:rPr>
          <w:rFonts w:ascii="Times New Roman" w:hAnsi="Times New Roman" w:cs="Times New Roman"/>
          <w:b w:val="0"/>
          <w:i w:val="0"/>
          <w:color w:val="auto"/>
        </w:rPr>
        <w:t>Распределение количества событий</w:t>
      </w:r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3422"/>
      </w:tblGrid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542">
              <w:rPr>
                <w:bCs/>
              </w:rPr>
              <w:t>Номер события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1542">
              <w:rPr>
                <w:bCs/>
              </w:rPr>
              <w:t>Количество за все время</w:t>
            </w:r>
          </w:p>
        </w:tc>
      </w:tr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B1542">
              <w:t>72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B1542">
              <w:t>96 539</w:t>
            </w:r>
          </w:p>
        </w:tc>
      </w:tr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>70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>36 814</w:t>
            </w:r>
          </w:p>
        </w:tc>
      </w:tr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>…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>…</w:t>
            </w:r>
          </w:p>
        </w:tc>
      </w:tr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lastRenderedPageBreak/>
              <w:t>34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 xml:space="preserve">  8 523</w:t>
            </w:r>
          </w:p>
        </w:tc>
      </w:tr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>30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 xml:space="preserve">  7 367</w:t>
            </w:r>
          </w:p>
        </w:tc>
      </w:tr>
      <w:tr w:rsidR="004518EC" w:rsidRPr="000B1542" w:rsidTr="00397C29">
        <w:tc>
          <w:tcPr>
            <w:tcW w:w="270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>61</w:t>
            </w:r>
          </w:p>
        </w:tc>
        <w:tc>
          <w:tcPr>
            <w:tcW w:w="3422" w:type="dxa"/>
            <w:shd w:val="clear" w:color="auto" w:fill="auto"/>
          </w:tcPr>
          <w:p w:rsidR="004518EC" w:rsidRPr="000B1542" w:rsidRDefault="004518EC" w:rsidP="00397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542">
              <w:t xml:space="preserve">  7 215</w:t>
            </w:r>
          </w:p>
        </w:tc>
      </w:tr>
    </w:tbl>
    <w:p w:rsidR="004518EC" w:rsidRPr="000B1542" w:rsidRDefault="004518EC" w:rsidP="004518EC">
      <w:pPr>
        <w:widowControl w:val="0"/>
        <w:autoSpaceDE w:val="0"/>
        <w:autoSpaceDN w:val="0"/>
        <w:adjustRightInd w:val="0"/>
      </w:pPr>
      <w:r w:rsidRPr="000B1542">
        <w:t xml:space="preserve">… … … 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B1542">
        <w:rPr>
          <w:noProof/>
        </w:rPr>
        <w:drawing>
          <wp:inline distT="0" distB="0" distL="0" distR="0" wp14:anchorId="06D87B42" wp14:editId="39FD537E">
            <wp:extent cx="2808605" cy="1339215"/>
            <wp:effectExtent l="19050" t="0" r="0" b="0"/>
            <wp:docPr id="1" name="Рисунок 1" descr="1_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f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EC" w:rsidRPr="000B1542" w:rsidRDefault="004518EC" w:rsidP="004518EC">
      <w:pPr>
        <w:pStyle w:val="a3"/>
        <w:spacing w:before="0"/>
        <w:ind w:firstLine="567"/>
        <w:rPr>
          <w:sz w:val="24"/>
          <w:szCs w:val="24"/>
        </w:rPr>
      </w:pPr>
      <w:r w:rsidRPr="000B1542">
        <w:rPr>
          <w:i/>
          <w:iCs/>
          <w:sz w:val="24"/>
          <w:szCs w:val="24"/>
        </w:rPr>
        <w:t>Рис. 1</w:t>
      </w:r>
      <w:r w:rsidRPr="000B1542">
        <w:rPr>
          <w:sz w:val="24"/>
          <w:szCs w:val="24"/>
        </w:rPr>
        <w:t>. Ритмограмма (событие – 19, период – все время)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</w:pPr>
      <w:r w:rsidRPr="000B1542">
        <w:t xml:space="preserve">Результаты экспериментов подтверждают применимость методики ритмографического </w:t>
      </w:r>
      <w:proofErr w:type="gramStart"/>
      <w:r w:rsidRPr="000B1542">
        <w:t>анализа</w:t>
      </w:r>
      <w:proofErr w:type="gramEnd"/>
      <w:r w:rsidRPr="000B1542">
        <w:t xml:space="preserve"> принятого в кардиологии для анализа ритма появления событий корпоративного сетевого трафика системы </w:t>
      </w:r>
      <w:r w:rsidRPr="000B1542">
        <w:rPr>
          <w:i/>
          <w:iCs/>
          <w:lang w:val="en-US"/>
        </w:rPr>
        <w:t>Cisco</w:t>
      </w:r>
      <w:r w:rsidRPr="000B1542">
        <w:rPr>
          <w:i/>
          <w:iCs/>
        </w:rPr>
        <w:t xml:space="preserve"> </w:t>
      </w:r>
      <w:r w:rsidRPr="000B1542">
        <w:rPr>
          <w:i/>
          <w:iCs/>
          <w:lang w:val="en-US"/>
        </w:rPr>
        <w:t>MARS</w:t>
      </w:r>
      <w:r w:rsidRPr="000B1542">
        <w:rPr>
          <w:i/>
          <w:iCs/>
        </w:rPr>
        <w:t xml:space="preserve"> </w:t>
      </w:r>
      <w:r w:rsidRPr="000B1542">
        <w:rPr>
          <w:iCs/>
        </w:rPr>
        <w:t>[3]</w:t>
      </w:r>
      <w:r w:rsidRPr="000B1542">
        <w:t xml:space="preserve">. В ходе исследований было разработано программное обеспечение на языке </w:t>
      </w:r>
      <w:r w:rsidRPr="000B1542">
        <w:rPr>
          <w:i/>
          <w:iCs/>
          <w:lang w:val="en-US"/>
        </w:rPr>
        <w:t>Python</w:t>
      </w:r>
      <w:r w:rsidRPr="000B1542">
        <w:t>. Практическое применение предложенного подхода требует дальнейших исследований.</w:t>
      </w:r>
    </w:p>
    <w:p w:rsidR="004518EC" w:rsidRPr="000B1542" w:rsidRDefault="004518EC" w:rsidP="004518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518EC" w:rsidRPr="000B1542" w:rsidRDefault="004518EC" w:rsidP="004518EC">
      <w:pPr>
        <w:pStyle w:val="-"/>
        <w:spacing w:after="0"/>
        <w:ind w:firstLine="567"/>
        <w:rPr>
          <w:sz w:val="24"/>
          <w:szCs w:val="24"/>
        </w:rPr>
      </w:pPr>
      <w:r w:rsidRPr="000B1542">
        <w:rPr>
          <w:sz w:val="24"/>
          <w:szCs w:val="24"/>
        </w:rPr>
        <w:t>Список литературы</w:t>
      </w:r>
    </w:p>
    <w:p w:rsidR="004518EC" w:rsidRPr="000B1542" w:rsidRDefault="004518EC" w:rsidP="004518EC">
      <w:r w:rsidRPr="000B1542">
        <w:t>1</w:t>
      </w:r>
      <w:r w:rsidRPr="000B1542">
        <w:rPr>
          <w:i/>
        </w:rPr>
        <w:t>. Коробейников А. В</w:t>
      </w:r>
      <w:r w:rsidRPr="000B1542">
        <w:t xml:space="preserve">. Алгоритмы и комплексы программ мониторно-компьютерных систем для анализа морфологии и ритма </w:t>
      </w:r>
      <w:proofErr w:type="gramStart"/>
      <w:r w:rsidRPr="000B1542">
        <w:t>электрокардиограмм :</w:t>
      </w:r>
      <w:proofErr w:type="gramEnd"/>
      <w:r w:rsidRPr="000B1542">
        <w:t xml:space="preserve"> дис… канд. техн. наук. – Ижевск, 2004. – 170 с. </w:t>
      </w:r>
    </w:p>
    <w:p w:rsidR="004518EC" w:rsidRPr="000B1542" w:rsidRDefault="004518EC" w:rsidP="004518EC">
      <w:r w:rsidRPr="000B1542">
        <w:t xml:space="preserve">2. </w:t>
      </w:r>
      <w:r w:rsidRPr="000B1542">
        <w:rPr>
          <w:i/>
        </w:rPr>
        <w:t xml:space="preserve">Коробейников А. В. </w:t>
      </w:r>
      <w:r w:rsidRPr="000B1542">
        <w:t xml:space="preserve">Стохастический подход к секвенциальному анализу </w:t>
      </w:r>
      <w:r w:rsidRPr="000B1542">
        <w:rPr>
          <w:spacing w:val="-4"/>
        </w:rPr>
        <w:t xml:space="preserve">событий корпоративного сетевого трафика системы </w:t>
      </w:r>
      <w:r w:rsidRPr="000B1542">
        <w:rPr>
          <w:spacing w:val="-4"/>
          <w:lang w:val="en-US"/>
        </w:rPr>
        <w:t>Cisco</w:t>
      </w:r>
      <w:r w:rsidRPr="000B1542">
        <w:rPr>
          <w:spacing w:val="-4"/>
        </w:rPr>
        <w:t xml:space="preserve"> </w:t>
      </w:r>
      <w:r w:rsidRPr="000B1542">
        <w:rPr>
          <w:spacing w:val="-4"/>
          <w:lang w:val="en-US"/>
        </w:rPr>
        <w:t>MARS</w:t>
      </w:r>
      <w:r w:rsidRPr="000B1542">
        <w:rPr>
          <w:spacing w:val="-4"/>
        </w:rPr>
        <w:t xml:space="preserve"> / А. В. Коробейников, А. В. Конин, А. С. Менлитдинов // Вестник КИГИТ. – 2012. – № 7</w:t>
      </w:r>
      <w:r w:rsidRPr="000B1542">
        <w:t xml:space="preserve"> (25). – С. 60–70.</w:t>
      </w:r>
    </w:p>
    <w:p w:rsidR="004518EC" w:rsidRPr="000B1542" w:rsidRDefault="004518EC" w:rsidP="004518EC">
      <w:pPr>
        <w:rPr>
          <w:lang w:val="en-US"/>
        </w:rPr>
      </w:pPr>
      <w:r w:rsidRPr="000B1542">
        <w:rPr>
          <w:spacing w:val="-2"/>
          <w:lang w:val="en-US"/>
        </w:rPr>
        <w:t xml:space="preserve">3. </w:t>
      </w:r>
      <w:r w:rsidRPr="000B1542">
        <w:rPr>
          <w:i/>
          <w:iCs/>
          <w:spacing w:val="-2"/>
          <w:lang w:val="en-US"/>
        </w:rPr>
        <w:t>Gary Halleen.</w:t>
      </w:r>
      <w:r w:rsidRPr="000B1542">
        <w:rPr>
          <w:spacing w:val="-2"/>
          <w:lang w:val="en-US"/>
        </w:rPr>
        <w:t xml:space="preserve"> Security Monitoring with Cisco Security MARS / </w:t>
      </w:r>
      <w:r w:rsidRPr="000B1542">
        <w:rPr>
          <w:iCs/>
          <w:spacing w:val="-2"/>
          <w:lang w:val="en-US"/>
        </w:rPr>
        <w:t>Gary Halleen, Greg Kellogg.</w:t>
      </w:r>
      <w:r w:rsidRPr="000B1542">
        <w:rPr>
          <w:spacing w:val="-2"/>
          <w:lang w:val="en-US"/>
        </w:rPr>
        <w:t xml:space="preserve"> – </w:t>
      </w:r>
      <w:r w:rsidRPr="000B1542">
        <w:rPr>
          <w:lang w:val="en-US"/>
        </w:rPr>
        <w:t>Cisco Press 800 East 96th Street Indianapolis, In 46240 USA. – 2007.</w:t>
      </w:r>
    </w:p>
    <w:p w:rsidR="00BE0448" w:rsidRPr="004518EC" w:rsidRDefault="00BE0448">
      <w:pPr>
        <w:rPr>
          <w:lang w:val="en-US"/>
        </w:rPr>
      </w:pPr>
      <w:bookmarkStart w:id="0" w:name="_GoBack"/>
      <w:bookmarkEnd w:id="0"/>
    </w:p>
    <w:sectPr w:rsidR="00BE0448" w:rsidRPr="0045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35" w:rsidRDefault="00187535" w:rsidP="004518EC">
      <w:r>
        <w:separator/>
      </w:r>
    </w:p>
  </w:endnote>
  <w:endnote w:type="continuationSeparator" w:id="0">
    <w:p w:rsidR="00187535" w:rsidRDefault="00187535" w:rsidP="004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35" w:rsidRDefault="00187535" w:rsidP="004518EC">
      <w:r>
        <w:separator/>
      </w:r>
    </w:p>
  </w:footnote>
  <w:footnote w:type="continuationSeparator" w:id="0">
    <w:p w:rsidR="00187535" w:rsidRDefault="00187535" w:rsidP="004518EC">
      <w:r>
        <w:continuationSeparator/>
      </w:r>
    </w:p>
  </w:footnote>
  <w:footnote w:id="1">
    <w:p w:rsidR="004518EC" w:rsidRPr="007B5D2D" w:rsidRDefault="004518EC" w:rsidP="004518EC">
      <w:pPr>
        <w:pStyle w:val="s"/>
        <w:rPr>
          <w:rStyle w:val="a5"/>
          <w:szCs w:val="16"/>
        </w:rPr>
      </w:pPr>
      <w:r w:rsidRPr="005737E1">
        <w:rPr>
          <w:rStyle w:val="a5"/>
          <w:szCs w:val="16"/>
        </w:rPr>
        <w:sym w:font="Symbol" w:char="F020"/>
      </w:r>
      <w:r w:rsidRPr="005737E1">
        <w:rPr>
          <w:rStyle w:val="a5"/>
          <w:szCs w:val="16"/>
        </w:rPr>
        <w:sym w:font="Symbol" w:char="F0D3"/>
      </w:r>
      <w:r w:rsidRPr="005737E1">
        <w:rPr>
          <w:rStyle w:val="a5"/>
          <w:szCs w:val="16"/>
        </w:rPr>
        <w:t xml:space="preserve"> </w:t>
      </w:r>
      <w:r>
        <w:rPr>
          <w:rStyle w:val="a5"/>
          <w:szCs w:val="16"/>
        </w:rPr>
        <w:t>Л</w:t>
      </w:r>
      <w:r>
        <w:t>ожкарев Д. В., Коробейников А. В., Филиппова Е. А</w:t>
      </w:r>
      <w:r w:rsidRPr="005737E1">
        <w:rPr>
          <w:rStyle w:val="a5"/>
          <w:szCs w:val="16"/>
        </w:rPr>
        <w:t xml:space="preserve">., </w:t>
      </w:r>
      <w:r>
        <w:rPr>
          <w:szCs w:val="16"/>
        </w:rPr>
        <w:t>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A4"/>
    <w:rsid w:val="00187535"/>
    <w:rsid w:val="001C16A4"/>
    <w:rsid w:val="004518EC"/>
    <w:rsid w:val="00B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0D12-5521-4CBF-BDC8-56505080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18EC"/>
    <w:pPr>
      <w:keepNext/>
      <w:spacing w:before="240" w:after="60"/>
      <w:outlineLvl w:val="1"/>
    </w:pPr>
    <w:rPr>
      <w:rFonts w:ascii="Arial" w:hAnsi="Arial"/>
      <w:b/>
      <w:i/>
      <w:kern w:val="28"/>
      <w:szCs w:val="20"/>
    </w:rPr>
  </w:style>
  <w:style w:type="paragraph" w:styleId="3">
    <w:name w:val="heading 3"/>
    <w:basedOn w:val="a"/>
    <w:next w:val="a"/>
    <w:link w:val="30"/>
    <w:qFormat/>
    <w:rsid w:val="004518EC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51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8EC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8EC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518E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customStyle="1" w:styleId="-">
    <w:name w:val="Спис.лит-ры"/>
    <w:basedOn w:val="a"/>
    <w:rsid w:val="004518EC"/>
    <w:pPr>
      <w:spacing w:after="120"/>
      <w:ind w:firstLine="0"/>
      <w:jc w:val="center"/>
    </w:pPr>
    <w:rPr>
      <w:b/>
      <w:sz w:val="18"/>
      <w:szCs w:val="18"/>
    </w:rPr>
  </w:style>
  <w:style w:type="paragraph" w:customStyle="1" w:styleId="a3">
    <w:name w:val="Подпись к рисунку"/>
    <w:link w:val="a4"/>
    <w:rsid w:val="004518E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footnote reference"/>
    <w:aliases w:val="[s]_Знак сноски"/>
    <w:rsid w:val="004518EC"/>
    <w:rPr>
      <w:vertAlign w:val="superscript"/>
    </w:rPr>
  </w:style>
  <w:style w:type="paragraph" w:customStyle="1" w:styleId="s">
    <w:name w:val="[s]_сноска"/>
    <w:basedOn w:val="a"/>
    <w:rsid w:val="004518EC"/>
    <w:pPr>
      <w:ind w:firstLine="284"/>
    </w:pPr>
    <w:rPr>
      <w:sz w:val="16"/>
    </w:rPr>
  </w:style>
  <w:style w:type="character" w:customStyle="1" w:styleId="a4">
    <w:name w:val="Подпись к рисунку Знак"/>
    <w:basedOn w:val="a0"/>
    <w:link w:val="a3"/>
    <w:rsid w:val="004518E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2</cp:revision>
  <dcterms:created xsi:type="dcterms:W3CDTF">2021-01-31T12:54:00Z</dcterms:created>
  <dcterms:modified xsi:type="dcterms:W3CDTF">2021-01-31T12:54:00Z</dcterms:modified>
</cp:coreProperties>
</file>